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ETİKETİN GÖRÜNÜMÜ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Fonts w:ascii="Arial" w:cs="Arial" w:eastAsia="Arial" w:hAnsi="Arial"/>
          <w:color w:val="7c868a"/>
          <w:sz w:val="21"/>
          <w:szCs w:val="21"/>
        </w:rPr>
        <w:drawing>
          <wp:inline distB="0" distT="0" distL="0" distR="0">
            <wp:extent cx="2377440" cy="952500"/>
            <wp:effectExtent b="0" l="0" r="0" t="0"/>
            <wp:docPr descr="http://storage.eun.org/esafety-label-medal/Bronze_2023_1_en_308b2.png" id="1" name="image1.png"/>
            <a:graphic>
              <a:graphicData uri="http://schemas.openxmlformats.org/drawingml/2006/picture">
                <pic:pic>
                  <pic:nvPicPr>
                    <pic:cNvPr descr="http://storage.eun.org/esafety-label-medal/Bronze_2023_1_en_308b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ETİKETİN SİTEYE GÖMME BAĞLANTISI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&lt;a href="https://www.esafetylabel.eu" target="_blank"&gt;&lt;img src="http://storage.eun.org/esafety-label-medal/Bronze_2023_1_en_308b2.png"&gt;&lt;/img&gt;&lt;/a&gt;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